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13" w:rsidRDefault="007B0913" w:rsidP="007B0913">
      <w:pPr>
        <w:spacing w:before="120"/>
        <w:jc w:val="center"/>
        <w:rPr>
          <w:b/>
          <w:color w:val="000000"/>
          <w:sz w:val="28"/>
          <w:szCs w:val="28"/>
        </w:rPr>
      </w:pPr>
      <w:r>
        <w:rPr>
          <w:b/>
          <w:color w:val="000000"/>
          <w:sz w:val="28"/>
          <w:szCs w:val="28"/>
        </w:rPr>
        <w:t>UBND HUYỆN A LƯỚI</w:t>
      </w:r>
    </w:p>
    <w:p w:rsidR="007B0913" w:rsidRDefault="007B0913" w:rsidP="007B0913">
      <w:pPr>
        <w:spacing w:before="120"/>
        <w:jc w:val="center"/>
        <w:rPr>
          <w:b/>
          <w:color w:val="000000"/>
          <w:sz w:val="28"/>
          <w:szCs w:val="28"/>
        </w:rPr>
      </w:pPr>
      <w:bookmarkStart w:id="0" w:name="_GoBack"/>
      <w:bookmarkEnd w:id="0"/>
    </w:p>
    <w:p w:rsidR="007B0913" w:rsidRPr="00657E4E" w:rsidRDefault="007B0913" w:rsidP="007B0913">
      <w:pPr>
        <w:jc w:val="center"/>
        <w:rPr>
          <w:b/>
          <w:color w:val="000000"/>
          <w:sz w:val="28"/>
          <w:szCs w:val="28"/>
        </w:rPr>
      </w:pPr>
      <w:r w:rsidRPr="00657E4E">
        <w:rPr>
          <w:b/>
          <w:color w:val="000000"/>
          <w:sz w:val="28"/>
          <w:szCs w:val="28"/>
        </w:rPr>
        <w:t>THAM LUẬN</w:t>
      </w:r>
    </w:p>
    <w:p w:rsidR="007B0913" w:rsidRDefault="007B0913" w:rsidP="007B0913">
      <w:pPr>
        <w:jc w:val="center"/>
        <w:rPr>
          <w:b/>
          <w:color w:val="000000"/>
          <w:sz w:val="28"/>
          <w:szCs w:val="28"/>
        </w:rPr>
      </w:pPr>
      <w:r w:rsidRPr="00657E4E">
        <w:rPr>
          <w:b/>
          <w:color w:val="000000"/>
          <w:sz w:val="28"/>
          <w:szCs w:val="28"/>
        </w:rPr>
        <w:t>VỀ KHẮC PHỤC KẾT LUẬN SỐ 206/KL-TTR NGÀY 21/5/2021 CỦA THANH TRA BỘ LĐTBXH VỀ THỰC HIỆN CHÍNH SÁCH ƯU ĐÃI NGƯỜI CÓ CÔNG VỚI CÁCH MẠNG TẠI HUYỆN A LƯỚI</w:t>
      </w:r>
    </w:p>
    <w:p w:rsidR="007B0913" w:rsidRPr="00657E4E" w:rsidRDefault="007B0913" w:rsidP="007B0913">
      <w:pPr>
        <w:spacing w:before="120"/>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70485</wp:posOffset>
                </wp:positionV>
                <wp:extent cx="3028950" cy="0"/>
                <wp:effectExtent l="13335" t="10160"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95960" id="_x0000_t32" coordsize="21600,21600" o:spt="32" o:oned="t" path="m,l21600,21600e" filled="f">
                <v:path arrowok="t" fillok="f" o:connecttype="none"/>
                <o:lock v:ext="edit" shapetype="t"/>
              </v:shapetype>
              <v:shape id="Straight Arrow Connector 1" o:spid="_x0000_s1026" type="#_x0000_t32" style="position:absolute;margin-left:125.25pt;margin-top:5.55pt;width:2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0Jg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"/>
            </w:pict>
          </mc:Fallback>
        </mc:AlternateContent>
      </w:r>
    </w:p>
    <w:p w:rsidR="007B0913" w:rsidRPr="00657E4E" w:rsidRDefault="007B0913" w:rsidP="007B0913">
      <w:pPr>
        <w:pStyle w:val="NormalWeb"/>
        <w:shd w:val="clear" w:color="auto" w:fill="FFFFFF"/>
        <w:spacing w:before="60" w:beforeAutospacing="0" w:after="60" w:afterAutospacing="0"/>
        <w:ind w:firstLine="720"/>
        <w:jc w:val="both"/>
        <w:rPr>
          <w:color w:val="000000"/>
          <w:sz w:val="28"/>
          <w:szCs w:val="28"/>
        </w:rPr>
      </w:pPr>
      <w:r w:rsidRPr="00657E4E">
        <w:rPr>
          <w:color w:val="000000"/>
          <w:sz w:val="28"/>
          <w:szCs w:val="28"/>
        </w:rPr>
        <w:t>A Lưới là căn cứ địa kháng chiến của Thừa Thiên Huế,  trong 2 cuộc chiến tranh chống Pháp và chống Mỹ để giành độc lập của dân tộc ta, nơi đây đã xẩy ra các cuộc chiến đấu tàn khốc giành giật địa bàn của ta và địch.  Người dân huyện A Lưới một lòng đi theo cách mạng tham gia chiến đấu và phục vụ chiến đấu. Trải qua 2 cuộc kháng chiến trường kỳ, chỉ tính trên địa bàn huyện, số Liệt sĩ hi sinh cho tổ quốc là 712 người, số thương binh bệnh, binh dư chứng để lại sau chiến tranh trên 5000 người, số người nhiễm chất độc hóa học trên 4500 người, trực tiếp và gián tiếp.</w:t>
      </w:r>
    </w:p>
    <w:p w:rsidR="007B0913" w:rsidRPr="00657E4E" w:rsidRDefault="007B0913" w:rsidP="007B0913">
      <w:pPr>
        <w:pStyle w:val="NormalWeb"/>
        <w:shd w:val="clear" w:color="auto" w:fill="FFFFFF"/>
        <w:spacing w:before="60" w:beforeAutospacing="0" w:after="60" w:afterAutospacing="0"/>
        <w:ind w:firstLine="720"/>
        <w:jc w:val="both"/>
        <w:rPr>
          <w:color w:val="000000"/>
          <w:sz w:val="28"/>
          <w:szCs w:val="28"/>
        </w:rPr>
      </w:pPr>
      <w:r w:rsidRPr="00657E4E">
        <w:rPr>
          <w:color w:val="000000"/>
          <w:sz w:val="28"/>
          <w:szCs w:val="28"/>
        </w:rPr>
        <w:t>Qua thời gian nhiều năm các đối tượng do vết thương tái phát, người có công già yếu nên chết dần, hiện nay, huyện còn lại số đối tượng chi trả trợ cấp hàng tháng gần 3.500 người có công và thân nhân người có công với cách mạng với tổng kinh phí gần 8 tỷ đồng, trong đó: Người hoạt động khánh chiến bị nhiễm CĐHH: 373 đối tượng, Con đẻ người HĐKC bị nhiễm CĐHH: 325, Có thể khẳng định, những năm qua, công tác quản lý và thực hiện chính sách ưu đãi của Đảng, Nhà nước đối với người có công với cách mạng đã được huyện thực hiện cơ bản toàn diện, đầy đủ theo đúng quy định.</w:t>
      </w:r>
    </w:p>
    <w:p w:rsidR="007B0913" w:rsidRPr="00657E4E" w:rsidRDefault="007B0913" w:rsidP="007B0913">
      <w:pPr>
        <w:pStyle w:val="BodyText"/>
        <w:spacing w:before="60" w:after="60"/>
        <w:ind w:firstLine="720"/>
        <w:rPr>
          <w:rFonts w:ascii="Times New Roman" w:hAnsi="Times New Roman"/>
          <w:bCs/>
          <w:color w:val="000000"/>
          <w:szCs w:val="28"/>
        </w:rPr>
      </w:pPr>
      <w:r w:rsidRPr="00657E4E">
        <w:rPr>
          <w:rFonts w:ascii="Times New Roman" w:hAnsi="Times New Roman"/>
          <w:bCs/>
          <w:color w:val="000000"/>
          <w:szCs w:val="28"/>
        </w:rPr>
        <w:t xml:space="preserve">Việc giải quyết chính sách tồn đọng sau chiến tranh là một việc làm nhân đạo và có ý nghĩa thiết thực và đạo lý dân tộc Việt Nam “ ăn quả nhớ người trồng cây”, qua các năm, đối tương có công cơ bản đã giải quyết dứt điểm quyền lợi mà Đảng – Nhà nước ưu đãi. Tuy vậy trong quá trình thực hiện đã xảy ra một số sai sót mà hiện nay huyện A Lưới phải tập trung khắc phục, đó là một số đối tượng do trình độ dân trí thấp, không hiểu hết chế độ chính sách nên đã lập hồ sơ để hưởng chế độ người nhiễm chất độc hóa học. Trong năm 2021, Thanh tra Bộ Lao động TB&amp;XH tiến hành thanh tra trên địa bàn huyện A Lưới và đã có </w:t>
      </w:r>
      <w:r w:rsidRPr="00657E4E">
        <w:rPr>
          <w:rFonts w:ascii="Times New Roman" w:hAnsi="Times New Roman"/>
          <w:b/>
          <w:bCs/>
          <w:color w:val="000000"/>
          <w:szCs w:val="28"/>
        </w:rPr>
        <w:t xml:space="preserve">Kết luận số 206/KL-TTr ngày 21/5/2021 của Bộ Lao động – Thương binh và Xã hội </w:t>
      </w:r>
      <w:r w:rsidRPr="00657E4E">
        <w:rPr>
          <w:rFonts w:ascii="Times New Roman" w:hAnsi="Times New Roman"/>
          <w:bCs/>
          <w:color w:val="000000"/>
          <w:szCs w:val="28"/>
        </w:rPr>
        <w:t>có 325 đối tượng con đẻ người hoạt động kháng chiên bị nhiễm chất độc hoá học thuộc diện Thanh tra của Bộ Lao động – TB&amp;XH, sau khi có Kết luận Thanh tra số 206/KL-TTr  có 99 đối tượng thôi trả trợ cấp hàng tháng và bị truy thu; 09 đối tượng bị tạm dừng trợ cấp.</w:t>
      </w:r>
    </w:p>
    <w:p w:rsidR="007B0913" w:rsidRPr="00657E4E" w:rsidRDefault="007B0913" w:rsidP="007B0913">
      <w:pPr>
        <w:pStyle w:val="NormalWeb"/>
        <w:shd w:val="clear" w:color="auto" w:fill="FFFFFF"/>
        <w:spacing w:before="60" w:beforeAutospacing="0" w:after="60" w:afterAutospacing="0"/>
        <w:ind w:firstLine="720"/>
        <w:jc w:val="both"/>
        <w:rPr>
          <w:i/>
          <w:color w:val="000000"/>
          <w:sz w:val="28"/>
          <w:szCs w:val="28"/>
        </w:rPr>
      </w:pPr>
      <w:r w:rsidRPr="00657E4E">
        <w:rPr>
          <w:color w:val="000000"/>
          <w:sz w:val="28"/>
          <w:szCs w:val="28"/>
        </w:rPr>
        <w:t>Để thực hiện Kết luận Thanh tra số 206/KL-TTr của Bộ Lao động – TB&amp;XH về thực hiện chính sách ưu đãi người có công với cách mạng trên địa bàn huyện A Lưới, UBND huyện A Lưới đã chỉ đạo phòng Lao động TB&amp;XH huyện, phối hợp với UBND các xã, thị trấn tập trung thực hiện giải quyết tồn tại và sai sót về thực hiện chế độ Ngươi có công và các giải pháp như sau:</w:t>
      </w:r>
      <w:r w:rsidRPr="00657E4E">
        <w:rPr>
          <w:i/>
          <w:color w:val="000000"/>
          <w:sz w:val="28"/>
          <w:szCs w:val="28"/>
        </w:rPr>
        <w:t xml:space="preserve"> </w:t>
      </w:r>
    </w:p>
    <w:p w:rsidR="007B0913" w:rsidRPr="00657E4E" w:rsidRDefault="007B0913" w:rsidP="007B0913">
      <w:pPr>
        <w:pStyle w:val="BodyText"/>
        <w:numPr>
          <w:ilvl w:val="0"/>
          <w:numId w:val="2"/>
        </w:numPr>
        <w:spacing w:before="60" w:after="60"/>
        <w:rPr>
          <w:rFonts w:ascii="Times New Roman" w:hAnsi="Times New Roman"/>
          <w:b/>
          <w:bCs/>
          <w:color w:val="000000"/>
          <w:szCs w:val="28"/>
        </w:rPr>
      </w:pPr>
      <w:r w:rsidRPr="00657E4E">
        <w:rPr>
          <w:rFonts w:ascii="Times New Roman" w:hAnsi="Times New Roman"/>
          <w:b/>
          <w:bCs/>
          <w:color w:val="000000"/>
          <w:szCs w:val="28"/>
        </w:rPr>
        <w:t>Công tác tổ chức tuyên truyền, giải thích chính sách cho đối tượng</w:t>
      </w:r>
    </w:p>
    <w:p w:rsidR="007B0913" w:rsidRPr="00657E4E" w:rsidRDefault="007B0913" w:rsidP="007B0913">
      <w:pPr>
        <w:pStyle w:val="BodyText"/>
        <w:spacing w:before="60" w:after="60"/>
        <w:ind w:firstLine="720"/>
        <w:rPr>
          <w:rFonts w:ascii="Times New Roman" w:hAnsi="Times New Roman"/>
          <w:bCs/>
          <w:color w:val="000000"/>
          <w:szCs w:val="28"/>
        </w:rPr>
      </w:pPr>
      <w:r w:rsidRPr="00657E4E">
        <w:rPr>
          <w:rFonts w:ascii="Times New Roman" w:hAnsi="Times New Roman"/>
          <w:bCs/>
          <w:color w:val="000000"/>
          <w:szCs w:val="28"/>
        </w:rPr>
        <w:lastRenderedPageBreak/>
        <w:t>UBND huyện mời lãnh đạo các xã, thị trấn quán triệt thực hiện một số nội dung theo Kết luận Thanh tra 206/KL-TTr.  Triệu tập các đối tượng bị thu hồi chế độ, giải thích rõ về chính sách và điều kiện để được hưởng ưu đãi của nhà nước, mục đích để đối tượng hiểu là bản thân họ sai và nộp lại số tiền đã được ưu đãi. Tránh được tình trạng khiếu kiện sai lên cấp trên, chính phủ, gây mất trật tự trị an và để các tổ chức phản động lợi dụng, kích động phá hoại.</w:t>
      </w:r>
    </w:p>
    <w:p w:rsidR="007B0913" w:rsidRPr="00657E4E" w:rsidRDefault="007B0913" w:rsidP="007B0913">
      <w:pPr>
        <w:spacing w:before="60" w:after="60"/>
        <w:ind w:firstLine="709"/>
        <w:jc w:val="both"/>
        <w:rPr>
          <w:b/>
          <w:color w:val="000000"/>
          <w:sz w:val="28"/>
          <w:szCs w:val="28"/>
        </w:rPr>
      </w:pPr>
      <w:r w:rsidRPr="00657E4E">
        <w:rPr>
          <w:b/>
          <w:color w:val="000000"/>
          <w:sz w:val="28"/>
          <w:szCs w:val="28"/>
        </w:rPr>
        <w:t>2. Về tổ chức kiểm điểm trách nhiệm</w:t>
      </w:r>
    </w:p>
    <w:p w:rsidR="007B0913" w:rsidRPr="00657E4E" w:rsidRDefault="007B0913" w:rsidP="007B0913">
      <w:pPr>
        <w:spacing w:before="60" w:after="60"/>
        <w:ind w:firstLine="709"/>
        <w:jc w:val="both"/>
        <w:rPr>
          <w:bCs/>
          <w:color w:val="000000"/>
          <w:sz w:val="28"/>
          <w:szCs w:val="28"/>
        </w:rPr>
      </w:pPr>
      <w:r w:rsidRPr="00657E4E">
        <w:rPr>
          <w:color w:val="000000"/>
          <w:sz w:val="28"/>
          <w:szCs w:val="28"/>
        </w:rPr>
        <w:t xml:space="preserve">Chỉ đạo các đơn vị liên quan trong Hội đồng xét duyệt đối tượng của cấp huyện, cấp xã, thị trấn </w:t>
      </w:r>
      <w:r w:rsidRPr="00657E4E">
        <w:rPr>
          <w:color w:val="000000"/>
          <w:spacing w:val="-2"/>
          <w:sz w:val="28"/>
          <w:szCs w:val="28"/>
          <w:lang w:val="nl-NL"/>
        </w:rPr>
        <w:t xml:space="preserve">đã tổ chức họp kiểm điểm trách nhiệm các cá nhân và tổ chức có liên quan đến những thiếu sót nêu tại </w:t>
      </w:r>
      <w:r w:rsidRPr="00657E4E">
        <w:rPr>
          <w:bCs/>
          <w:color w:val="000000"/>
          <w:sz w:val="28"/>
          <w:szCs w:val="28"/>
        </w:rPr>
        <w:t>Kết luận số 206/KL-TTr  và rút kinh nghiệm trong công tác quản lý, điều hành, triển khai thực hiện nhiệm vụ được giao.</w:t>
      </w:r>
    </w:p>
    <w:p w:rsidR="007B0913" w:rsidRPr="00657E4E" w:rsidRDefault="007B0913" w:rsidP="007B0913">
      <w:pPr>
        <w:spacing w:before="60" w:after="60"/>
        <w:ind w:firstLine="709"/>
        <w:jc w:val="both"/>
        <w:rPr>
          <w:bCs/>
          <w:color w:val="000000"/>
          <w:sz w:val="28"/>
          <w:szCs w:val="28"/>
        </w:rPr>
      </w:pPr>
      <w:r w:rsidRPr="00657E4E">
        <w:rPr>
          <w:bCs/>
          <w:color w:val="000000"/>
          <w:sz w:val="28"/>
          <w:szCs w:val="28"/>
        </w:rPr>
        <w:t>Gia</w:t>
      </w:r>
      <w:r>
        <w:rPr>
          <w:bCs/>
          <w:color w:val="000000"/>
          <w:sz w:val="28"/>
          <w:szCs w:val="28"/>
        </w:rPr>
        <w:t>o</w:t>
      </w:r>
      <w:r w:rsidRPr="00657E4E">
        <w:rPr>
          <w:bCs/>
          <w:color w:val="000000"/>
          <w:sz w:val="28"/>
          <w:szCs w:val="28"/>
        </w:rPr>
        <w:t xml:space="preserve"> cho các đơn vị, địa phương phối hợp triển khai làm tốt công tác tuyên truyền, vận động thu hồi số tiền hưởng sai chế độ chính sách.</w:t>
      </w:r>
    </w:p>
    <w:p w:rsidR="007B0913" w:rsidRPr="00657E4E" w:rsidRDefault="007B0913" w:rsidP="007B0913">
      <w:pPr>
        <w:pStyle w:val="BodyText"/>
        <w:numPr>
          <w:ilvl w:val="0"/>
          <w:numId w:val="3"/>
        </w:numPr>
        <w:spacing w:before="60" w:after="60"/>
        <w:rPr>
          <w:rFonts w:ascii="Times New Roman" w:hAnsi="Times New Roman"/>
          <w:bCs/>
          <w:color w:val="000000"/>
          <w:szCs w:val="28"/>
        </w:rPr>
      </w:pPr>
      <w:r w:rsidRPr="00657E4E">
        <w:rPr>
          <w:rFonts w:ascii="Times New Roman" w:hAnsi="Times New Roman"/>
          <w:b/>
          <w:bCs/>
          <w:color w:val="000000"/>
          <w:szCs w:val="28"/>
        </w:rPr>
        <w:t>Về thu nộp vào ngân sách nhà nước</w:t>
      </w:r>
    </w:p>
    <w:p w:rsidR="007B0913" w:rsidRPr="00657E4E" w:rsidRDefault="007B0913" w:rsidP="007B0913">
      <w:pPr>
        <w:pStyle w:val="BodyText"/>
        <w:spacing w:before="60" w:after="60"/>
        <w:ind w:firstLine="720"/>
        <w:rPr>
          <w:rFonts w:ascii="Times New Roman" w:hAnsi="Times New Roman"/>
          <w:bCs/>
          <w:color w:val="000000"/>
          <w:szCs w:val="28"/>
        </w:rPr>
      </w:pPr>
      <w:r w:rsidRPr="00657E4E">
        <w:rPr>
          <w:rFonts w:ascii="Times New Roman" w:hAnsi="Times New Roman"/>
          <w:bCs/>
          <w:color w:val="000000"/>
          <w:szCs w:val="28"/>
        </w:rPr>
        <w:t xml:space="preserve">Tổng số đối tượng bị thu hồi trợ cấp 99 đối tượng với tổng số tiền  11.930.070.000đ; </w:t>
      </w:r>
      <w:r w:rsidRPr="00657E4E">
        <w:rPr>
          <w:rFonts w:ascii="Times New Roman" w:hAnsi="Times New Roman"/>
          <w:bCs/>
          <w:i/>
          <w:color w:val="000000"/>
          <w:szCs w:val="28"/>
        </w:rPr>
        <w:t>cụ thể trong đó:</w:t>
      </w:r>
    </w:p>
    <w:p w:rsidR="007B0913" w:rsidRPr="00657E4E" w:rsidRDefault="007B0913" w:rsidP="007B0913">
      <w:pPr>
        <w:spacing w:before="60" w:after="60"/>
        <w:ind w:firstLine="720"/>
        <w:jc w:val="both"/>
        <w:rPr>
          <w:color w:val="000000"/>
          <w:sz w:val="28"/>
          <w:szCs w:val="28"/>
        </w:rPr>
      </w:pPr>
      <w:r w:rsidRPr="00657E4E">
        <w:rPr>
          <w:color w:val="000000"/>
          <w:sz w:val="28"/>
          <w:szCs w:val="28"/>
        </w:rPr>
        <w:t xml:space="preserve">- Đối tượng là con đẻ người tham gia hoạt động kháng chiến không đủ điều kiện hưởng (còn khả năng lao động): 85 đối tượng </w:t>
      </w:r>
    </w:p>
    <w:p w:rsidR="007B0913" w:rsidRPr="00657E4E" w:rsidRDefault="007B0913" w:rsidP="007B0913">
      <w:pPr>
        <w:spacing w:before="60" w:after="60"/>
        <w:ind w:firstLine="720"/>
        <w:jc w:val="both"/>
        <w:rPr>
          <w:color w:val="000000"/>
          <w:sz w:val="28"/>
          <w:szCs w:val="28"/>
        </w:rPr>
      </w:pPr>
      <w:r w:rsidRPr="00657E4E">
        <w:rPr>
          <w:color w:val="000000"/>
          <w:sz w:val="28"/>
          <w:szCs w:val="28"/>
        </w:rPr>
        <w:t xml:space="preserve">- Đối tượng cháu (thế hệ thứ 3): người hoạt động kháng chiến mà là cháu 06 đối tượng </w:t>
      </w:r>
    </w:p>
    <w:p w:rsidR="007B0913" w:rsidRPr="00657E4E" w:rsidRDefault="007B0913" w:rsidP="007B0913">
      <w:pPr>
        <w:spacing w:before="60" w:after="60"/>
        <w:ind w:firstLine="720"/>
        <w:jc w:val="both"/>
        <w:rPr>
          <w:color w:val="000000"/>
          <w:sz w:val="28"/>
          <w:szCs w:val="28"/>
        </w:rPr>
      </w:pPr>
      <w:r w:rsidRPr="00657E4E">
        <w:rPr>
          <w:color w:val="000000"/>
          <w:sz w:val="28"/>
          <w:szCs w:val="28"/>
        </w:rPr>
        <w:t>- Đối tượng sinh trước thời điểm quân đội Mỹ sử dụng chất độc hóa học trong chiến tranh tại Việt Nam: 04 đối tượng</w:t>
      </w:r>
    </w:p>
    <w:p w:rsidR="007B0913" w:rsidRPr="00657E4E" w:rsidRDefault="007B0913" w:rsidP="007B0913">
      <w:pPr>
        <w:spacing w:before="60" w:after="60"/>
        <w:ind w:firstLine="720"/>
        <w:jc w:val="both"/>
        <w:rPr>
          <w:color w:val="000000"/>
          <w:sz w:val="28"/>
          <w:szCs w:val="28"/>
        </w:rPr>
      </w:pPr>
      <w:r w:rsidRPr="00657E4E">
        <w:rPr>
          <w:color w:val="000000"/>
          <w:sz w:val="28"/>
          <w:szCs w:val="28"/>
        </w:rPr>
        <w:t>- Đối tượng mắc bệnh không nằm trong danh mục: 04 đối tượng</w:t>
      </w:r>
    </w:p>
    <w:p w:rsidR="007B0913" w:rsidRPr="00657E4E" w:rsidRDefault="007B0913" w:rsidP="007B0913">
      <w:pPr>
        <w:spacing w:before="60" w:after="60"/>
        <w:ind w:firstLine="720"/>
        <w:jc w:val="both"/>
        <w:rPr>
          <w:i/>
          <w:color w:val="000000"/>
          <w:sz w:val="28"/>
          <w:szCs w:val="28"/>
        </w:rPr>
      </w:pPr>
      <w:r w:rsidRPr="00657E4E">
        <w:rPr>
          <w:color w:val="000000"/>
          <w:sz w:val="28"/>
          <w:szCs w:val="28"/>
        </w:rPr>
        <w:t>Đến nay công tác tiến hành thu nộp vào ngân sách nhà nước đang được tiến hành theo quy định.</w:t>
      </w:r>
    </w:p>
    <w:p w:rsidR="007B0913" w:rsidRDefault="007B0913" w:rsidP="007B0913">
      <w:pPr>
        <w:numPr>
          <w:ilvl w:val="0"/>
          <w:numId w:val="3"/>
        </w:numPr>
        <w:spacing w:before="60" w:after="60"/>
        <w:jc w:val="both"/>
        <w:rPr>
          <w:b/>
          <w:color w:val="000000"/>
          <w:sz w:val="28"/>
          <w:szCs w:val="28"/>
        </w:rPr>
      </w:pPr>
      <w:r w:rsidRPr="00657E4E">
        <w:rPr>
          <w:b/>
          <w:color w:val="000000"/>
          <w:sz w:val="28"/>
          <w:szCs w:val="28"/>
        </w:rPr>
        <w:t>Giải pháp thực hiện kết l</w:t>
      </w:r>
      <w:r>
        <w:rPr>
          <w:b/>
          <w:color w:val="000000"/>
          <w:sz w:val="28"/>
          <w:szCs w:val="28"/>
        </w:rPr>
        <w:t>uân của Thanh tra</w:t>
      </w:r>
    </w:p>
    <w:p w:rsidR="007B0913" w:rsidRPr="00292381" w:rsidRDefault="007B0913" w:rsidP="007B0913">
      <w:pPr>
        <w:spacing w:before="60" w:after="60"/>
        <w:ind w:left="720"/>
        <w:jc w:val="both"/>
        <w:rPr>
          <w:b/>
          <w:color w:val="000000"/>
          <w:sz w:val="28"/>
          <w:szCs w:val="28"/>
        </w:rPr>
      </w:pPr>
      <w:r>
        <w:rPr>
          <w:b/>
          <w:color w:val="000000"/>
          <w:sz w:val="28"/>
          <w:szCs w:val="28"/>
        </w:rPr>
        <w:t xml:space="preserve">4.1. </w:t>
      </w:r>
      <w:r w:rsidRPr="00292381">
        <w:rPr>
          <w:b/>
          <w:color w:val="000000"/>
          <w:sz w:val="28"/>
          <w:szCs w:val="28"/>
        </w:rPr>
        <w:t>Công tác thu hồi trợ cấp hưởng sai.</w:t>
      </w:r>
    </w:p>
    <w:p w:rsidR="007B0913" w:rsidRPr="00657E4E" w:rsidRDefault="007B0913" w:rsidP="007B0913">
      <w:pPr>
        <w:numPr>
          <w:ilvl w:val="0"/>
          <w:numId w:val="4"/>
        </w:numPr>
        <w:tabs>
          <w:tab w:val="left" w:pos="990"/>
        </w:tabs>
        <w:spacing w:before="60" w:after="60"/>
        <w:ind w:left="0" w:firstLine="720"/>
        <w:jc w:val="both"/>
        <w:rPr>
          <w:color w:val="000000"/>
          <w:sz w:val="28"/>
          <w:szCs w:val="28"/>
        </w:rPr>
      </w:pPr>
      <w:r w:rsidRPr="00657E4E">
        <w:rPr>
          <w:color w:val="000000"/>
          <w:sz w:val="28"/>
          <w:szCs w:val="28"/>
        </w:rPr>
        <w:t>Trong số 99 đối tượng được phân loại cụ thể, những đối tượng hưởng sai nhưng có nguồn trợ cấp khác như hưởng có công, hưởng hưu trí, có nguồn thu nhập thì UBND xã vận động thu nộp hàng tháng theo thỏa thuận và điều kiện hoàn cảnh gia đình.</w:t>
      </w:r>
    </w:p>
    <w:p w:rsidR="007B0913" w:rsidRPr="00657E4E" w:rsidRDefault="007B0913" w:rsidP="007B0913">
      <w:pPr>
        <w:numPr>
          <w:ilvl w:val="0"/>
          <w:numId w:val="4"/>
        </w:numPr>
        <w:tabs>
          <w:tab w:val="left" w:pos="990"/>
        </w:tabs>
        <w:spacing w:before="60" w:after="60"/>
        <w:ind w:left="0" w:firstLine="720"/>
        <w:jc w:val="both"/>
        <w:rPr>
          <w:color w:val="000000"/>
          <w:sz w:val="28"/>
          <w:szCs w:val="28"/>
        </w:rPr>
      </w:pPr>
      <w:r w:rsidRPr="00657E4E">
        <w:rPr>
          <w:color w:val="000000"/>
          <w:sz w:val="28"/>
          <w:szCs w:val="28"/>
        </w:rPr>
        <w:t>Các đối tượng không thuộc đối tưởng hưởng trợ cấp chất độc hóa học mà tỷ lệ tàn tật nặng thì UBND xã xem xét đưa vào đối tượng Bảo trợ xã hội và truy thu dần theo tỷ lệ nhất định trên tinh thần nhân đạo, đảm bảo cuộc sống cho họ.</w:t>
      </w:r>
    </w:p>
    <w:p w:rsidR="007B0913" w:rsidRDefault="007B0913" w:rsidP="007B0913">
      <w:pPr>
        <w:numPr>
          <w:ilvl w:val="0"/>
          <w:numId w:val="4"/>
        </w:numPr>
        <w:tabs>
          <w:tab w:val="left" w:pos="990"/>
        </w:tabs>
        <w:spacing w:before="60" w:after="60"/>
        <w:ind w:left="0" w:firstLine="720"/>
        <w:jc w:val="both"/>
        <w:rPr>
          <w:color w:val="000000"/>
          <w:sz w:val="28"/>
          <w:szCs w:val="28"/>
        </w:rPr>
      </w:pPr>
      <w:r w:rsidRPr="00657E4E">
        <w:rPr>
          <w:color w:val="000000"/>
          <w:sz w:val="28"/>
          <w:szCs w:val="28"/>
        </w:rPr>
        <w:t>Đối tượng nghèo, không có một nguồn thu nhập nào, sau khi cắt không có cơ sở để thu hồi tạm thời khoanh lại và báo cáo đề xuất lên cấp trên xem xét.</w:t>
      </w:r>
    </w:p>
    <w:p w:rsidR="007B0913" w:rsidRPr="00292381" w:rsidRDefault="007B0913" w:rsidP="007B0913">
      <w:pPr>
        <w:tabs>
          <w:tab w:val="left" w:pos="990"/>
        </w:tabs>
        <w:spacing w:before="60" w:after="60"/>
        <w:ind w:left="720"/>
        <w:jc w:val="both"/>
        <w:rPr>
          <w:color w:val="000000"/>
          <w:sz w:val="28"/>
          <w:szCs w:val="28"/>
        </w:rPr>
      </w:pPr>
      <w:r w:rsidRPr="00292381">
        <w:rPr>
          <w:b/>
          <w:color w:val="000000"/>
          <w:sz w:val="28"/>
          <w:szCs w:val="28"/>
        </w:rPr>
        <w:t>4.2.</w:t>
      </w:r>
      <w:r>
        <w:rPr>
          <w:color w:val="000000"/>
          <w:sz w:val="28"/>
          <w:szCs w:val="28"/>
        </w:rPr>
        <w:t xml:space="preserve"> </w:t>
      </w:r>
      <w:r w:rsidRPr="00292381">
        <w:rPr>
          <w:b/>
          <w:color w:val="000000"/>
          <w:sz w:val="28"/>
          <w:szCs w:val="28"/>
        </w:rPr>
        <w:t>Đối tượng bổ sung hồ sơ giấy tờ</w:t>
      </w:r>
    </w:p>
    <w:p w:rsidR="007B0913" w:rsidRPr="00657E4E" w:rsidRDefault="007B0913" w:rsidP="007B0913">
      <w:pPr>
        <w:spacing w:before="60" w:after="60"/>
        <w:ind w:firstLine="720"/>
        <w:jc w:val="both"/>
        <w:rPr>
          <w:color w:val="000000"/>
          <w:sz w:val="28"/>
          <w:szCs w:val="28"/>
        </w:rPr>
      </w:pPr>
      <w:r w:rsidRPr="00657E4E">
        <w:rPr>
          <w:color w:val="000000"/>
          <w:sz w:val="28"/>
          <w:szCs w:val="28"/>
        </w:rPr>
        <w:t xml:space="preserve">Đối tượng HĐKC  hiên nay đã già yếu, không còn minh mẫn; một số con đẻ người HĐKC do trước đây được bố, mẹ khai hồ sơ hưởng trợ cấp nay bố, mẹ đã từ trần nên chưa tìm được giấy tờ. Do đặc thù người dân tộc có nhiều tên, tuổi </w:t>
      </w:r>
      <w:r w:rsidRPr="00657E4E">
        <w:rPr>
          <w:color w:val="000000"/>
          <w:sz w:val="28"/>
          <w:szCs w:val="28"/>
        </w:rPr>
        <w:lastRenderedPageBreak/>
        <w:t>nên giấy tờ thể hiện ở hồ sơ hưởng chế độ trợ cấp không trùng khớp với giấy tờ tùy thân, phòng Lao động TB&amp;XH phối hợp Sở Lao động TB&amp;XH sao lục bổ sung đúng đối tượng và nếu không thể có giấy tờ chứng minh về thân nhân Hội đồng cấp xã sẽ xác minh kiểm tra về cha mẹ có tham gia kháng chiến hay không để để xuất giải quyết.</w:t>
      </w:r>
    </w:p>
    <w:p w:rsidR="007B0913" w:rsidRPr="00657E4E" w:rsidRDefault="007B0913" w:rsidP="007B0913">
      <w:pPr>
        <w:numPr>
          <w:ilvl w:val="0"/>
          <w:numId w:val="3"/>
        </w:numPr>
        <w:spacing w:before="60" w:after="60"/>
        <w:jc w:val="both"/>
        <w:rPr>
          <w:b/>
          <w:bCs/>
          <w:color w:val="000000"/>
          <w:sz w:val="28"/>
          <w:szCs w:val="28"/>
        </w:rPr>
      </w:pPr>
      <w:r w:rsidRPr="00657E4E">
        <w:rPr>
          <w:b/>
          <w:bCs/>
          <w:color w:val="000000"/>
          <w:sz w:val="28"/>
          <w:szCs w:val="28"/>
        </w:rPr>
        <w:t>Kiến nghị, đề xuất:</w:t>
      </w:r>
    </w:p>
    <w:p w:rsidR="007B0913" w:rsidRPr="00657E4E" w:rsidRDefault="007B0913" w:rsidP="007B0913">
      <w:pPr>
        <w:spacing w:before="60" w:after="60"/>
        <w:ind w:firstLine="720"/>
        <w:jc w:val="both"/>
        <w:rPr>
          <w:bCs/>
          <w:color w:val="000000"/>
          <w:sz w:val="28"/>
          <w:szCs w:val="28"/>
        </w:rPr>
      </w:pPr>
      <w:r w:rsidRPr="00657E4E">
        <w:rPr>
          <w:bCs/>
          <w:color w:val="000000"/>
          <w:sz w:val="28"/>
          <w:szCs w:val="28"/>
        </w:rPr>
        <w:t xml:space="preserve">Chế độ Người  nhiễm chất độc hóa học trước đây theo Nghị quyết 120 thuộc đối tượng Bảo trợ xã hội, vì vậy theo giai </w:t>
      </w:r>
      <w:r>
        <w:rPr>
          <w:bCs/>
          <w:color w:val="000000"/>
          <w:sz w:val="28"/>
          <w:szCs w:val="28"/>
        </w:rPr>
        <w:t>đoạn</w:t>
      </w:r>
      <w:r w:rsidRPr="00657E4E">
        <w:rPr>
          <w:bCs/>
          <w:color w:val="000000"/>
          <w:sz w:val="28"/>
          <w:szCs w:val="28"/>
        </w:rPr>
        <w:t xml:space="preserve"> năm 2001-2005 đối tượng bị nhiễm đều được dựng hồ sơ để giải quyết, UBND cấp xã chỉ xác minh là đối tượng tàn tật đề xuất Hội đồng y khoa giám định, do vậy UBND cấp xã  thực hiện không cố tình làm sai, do vây việc kiểm điểm chỉ nên rút kinh nghiệm. </w:t>
      </w:r>
    </w:p>
    <w:p w:rsidR="007B0913" w:rsidRPr="00657E4E" w:rsidRDefault="007B0913" w:rsidP="007B0913">
      <w:pPr>
        <w:pStyle w:val="BodyText"/>
        <w:spacing w:before="60" w:after="60"/>
        <w:ind w:firstLine="720"/>
        <w:rPr>
          <w:rFonts w:ascii="Times New Roman" w:hAnsi="Times New Roman"/>
          <w:bCs/>
          <w:color w:val="000000"/>
          <w:szCs w:val="28"/>
        </w:rPr>
      </w:pPr>
      <w:r w:rsidRPr="00657E4E">
        <w:rPr>
          <w:rFonts w:ascii="Times New Roman" w:hAnsi="Times New Roman"/>
          <w:bCs/>
          <w:color w:val="000000"/>
          <w:szCs w:val="28"/>
        </w:rPr>
        <w:t>Người dân huyện A Lưới chủ yếu đối tượng người dân tộc thiểu số, tỷ lệ hộ nghèo của huyện giai đoạn 2021-2025 là  65,55%, việc dựng hồ sơ hưởng sai không phải cố tình mà do không hiểu hết qui định. Trình độ dân trí thấp, đời sống rất khó khăn, đề nghị nhà nước quan tâm chỉ nên cắt chế độ và không thu hồi số tiền ưu đãi đối tượng đã được nhận.</w:t>
      </w:r>
    </w:p>
    <w:p w:rsidR="007B0913" w:rsidRPr="00657E4E" w:rsidRDefault="007B0913" w:rsidP="007B0913">
      <w:pPr>
        <w:spacing w:before="60" w:after="60"/>
        <w:ind w:firstLine="720"/>
        <w:jc w:val="both"/>
        <w:rPr>
          <w:color w:val="000000"/>
          <w:sz w:val="28"/>
          <w:szCs w:val="28"/>
        </w:rPr>
      </w:pPr>
      <w:r w:rsidRPr="00657E4E">
        <w:rPr>
          <w:color w:val="000000"/>
          <w:sz w:val="28"/>
          <w:szCs w:val="28"/>
        </w:rPr>
        <w:t>Trên đây là một số giải pháp  mà UBND huyện chỉ đạo trong việc thực hiện Kết luận Thanh tra số 206/KL-TTr của Bộ Lao động – TBXH trên địa bàn huyện A Lưới.</w:t>
      </w:r>
    </w:p>
    <w:p w:rsidR="007B0913" w:rsidRDefault="007B0913" w:rsidP="007B0913">
      <w:pPr>
        <w:spacing w:before="60" w:after="60"/>
        <w:ind w:firstLine="720"/>
        <w:jc w:val="both"/>
        <w:rPr>
          <w:color w:val="000000"/>
          <w:sz w:val="28"/>
          <w:szCs w:val="28"/>
        </w:rPr>
      </w:pPr>
      <w:r w:rsidRPr="00657E4E">
        <w:rPr>
          <w:color w:val="000000"/>
          <w:sz w:val="28"/>
          <w:szCs w:val="28"/>
        </w:rPr>
        <w:t>Kính chúc các đại biểu đón năm mới sức khỏe, hạnh phúc, chúc hội nghị thành công tốt đẹp./.</w:t>
      </w:r>
    </w:p>
    <w:p w:rsidR="00EE659F" w:rsidRDefault="007B0913" w:rsidP="007B0913">
      <w:r>
        <w:rPr>
          <w:color w:val="000000"/>
          <w:sz w:val="28"/>
          <w:szCs w:val="28"/>
        </w:rPr>
        <w:br w:type="page"/>
      </w:r>
    </w:p>
    <w:sectPr w:rsidR="00EE659F" w:rsidSect="00A125E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E4" w:rsidRDefault="00A125E4" w:rsidP="00A125E4">
      <w:r>
        <w:separator/>
      </w:r>
    </w:p>
  </w:endnote>
  <w:endnote w:type="continuationSeparator" w:id="0">
    <w:p w:rsidR="00A125E4" w:rsidRDefault="00A125E4" w:rsidP="00A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E4" w:rsidRDefault="00A125E4" w:rsidP="00A125E4">
      <w:r>
        <w:separator/>
      </w:r>
    </w:p>
  </w:footnote>
  <w:footnote w:type="continuationSeparator" w:id="0">
    <w:p w:rsidR="00A125E4" w:rsidRDefault="00A125E4" w:rsidP="00A12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52360"/>
      <w:docPartObj>
        <w:docPartGallery w:val="Page Numbers (Top of Page)"/>
        <w:docPartUnique/>
      </w:docPartObj>
    </w:sdtPr>
    <w:sdtEndPr>
      <w:rPr>
        <w:noProof/>
      </w:rPr>
    </w:sdtEndPr>
    <w:sdtContent>
      <w:p w:rsidR="00A125E4" w:rsidRDefault="00A125E4">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A125E4" w:rsidRDefault="00A12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3DC"/>
    <w:multiLevelType w:val="multilevel"/>
    <w:tmpl w:val="7E7E4FD8"/>
    <w:lvl w:ilvl="0">
      <w:start w:val="3"/>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216F599E"/>
    <w:multiLevelType w:val="hybridMultilevel"/>
    <w:tmpl w:val="E7589FCE"/>
    <w:lvl w:ilvl="0" w:tplc="5E240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D6185"/>
    <w:multiLevelType w:val="hybridMultilevel"/>
    <w:tmpl w:val="746E0FE4"/>
    <w:lvl w:ilvl="0" w:tplc="7BDAC4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453680"/>
    <w:multiLevelType w:val="hybridMultilevel"/>
    <w:tmpl w:val="249CCE4C"/>
    <w:lvl w:ilvl="0" w:tplc="185E426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13"/>
    <w:rsid w:val="00106D3E"/>
    <w:rsid w:val="002820AC"/>
    <w:rsid w:val="002A6F34"/>
    <w:rsid w:val="00787DF3"/>
    <w:rsid w:val="007B0913"/>
    <w:rsid w:val="00880B3A"/>
    <w:rsid w:val="00A125E4"/>
    <w:rsid w:val="00EE659F"/>
    <w:rsid w:val="00F2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AE3B-2D4C-4FC3-B34F-6F38671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13"/>
    <w:pPr>
      <w:spacing w:before="0" w:after="0" w:line="240" w:lineRule="auto"/>
    </w:pPr>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1,2,Geneva 9,Normal (Web) Char,Char Char Char Char Char Char Char Char Char Char Char Char Char Char Char,Char Char Char Char Char Char Char Char Char Char Char Char Char,Char Char Char Char Char Char Char Char Char Char Char Char"/>
    <w:basedOn w:val="Normal"/>
    <w:link w:val="NormalWebChar1"/>
    <w:qFormat/>
    <w:rsid w:val="007B0913"/>
    <w:pPr>
      <w:spacing w:before="100" w:beforeAutospacing="1" w:after="100" w:afterAutospacing="1"/>
    </w:pPr>
    <w:rPr>
      <w:sz w:val="24"/>
      <w:lang w:val="x-none" w:eastAsia="x-none"/>
    </w:rPr>
  </w:style>
  <w:style w:type="paragraph" w:styleId="BodyText">
    <w:name w:val="Body Text"/>
    <w:basedOn w:val="Normal"/>
    <w:link w:val="BodyTextChar"/>
    <w:unhideWhenUsed/>
    <w:rsid w:val="007B0913"/>
    <w:pPr>
      <w:jc w:val="both"/>
    </w:pPr>
    <w:rPr>
      <w:rFonts w:ascii=".VnTime" w:hAnsi=".VnTime"/>
      <w:sz w:val="28"/>
      <w:szCs w:val="20"/>
      <w:lang w:val="x-none" w:eastAsia="x-none"/>
    </w:rPr>
  </w:style>
  <w:style w:type="character" w:customStyle="1" w:styleId="BodyTextChar">
    <w:name w:val="Body Text Char"/>
    <w:basedOn w:val="DefaultParagraphFont"/>
    <w:link w:val="BodyText"/>
    <w:rsid w:val="007B0913"/>
    <w:rPr>
      <w:rFonts w:ascii=".VnTime" w:eastAsia="Times New Roman" w:hAnsi=".VnTime"/>
      <w:szCs w:val="20"/>
      <w:lang w:val="x-none" w:eastAsia="x-none"/>
    </w:rPr>
  </w:style>
  <w:style w:type="character" w:customStyle="1" w:styleId="NormalWebChar1">
    <w:name w:val="Normal (Web) Char1"/>
    <w:aliases w:val="1 Char,2 Char,Geneva 9 Char,Normal (Web) Char Char,Char Char Char Char Char Char Char Char Char Char Char Char Char Char Char Char,Char Char Char Char Char Char Char Char Char Char Char Char Char Char"/>
    <w:link w:val="NormalWeb"/>
    <w:locked/>
    <w:rsid w:val="007B0913"/>
    <w:rPr>
      <w:rFonts w:eastAsia="Times New Roman"/>
      <w:sz w:val="24"/>
      <w:szCs w:val="24"/>
      <w:lang w:val="x-none" w:eastAsia="x-none"/>
    </w:rPr>
  </w:style>
  <w:style w:type="paragraph" w:styleId="Header">
    <w:name w:val="header"/>
    <w:basedOn w:val="Normal"/>
    <w:link w:val="HeaderChar"/>
    <w:uiPriority w:val="99"/>
    <w:unhideWhenUsed/>
    <w:rsid w:val="00A125E4"/>
    <w:pPr>
      <w:tabs>
        <w:tab w:val="center" w:pos="4680"/>
        <w:tab w:val="right" w:pos="9360"/>
      </w:tabs>
    </w:pPr>
  </w:style>
  <w:style w:type="character" w:customStyle="1" w:styleId="HeaderChar">
    <w:name w:val="Header Char"/>
    <w:basedOn w:val="DefaultParagraphFont"/>
    <w:link w:val="Header"/>
    <w:uiPriority w:val="99"/>
    <w:rsid w:val="00A125E4"/>
    <w:rPr>
      <w:rFonts w:eastAsia="Times New Roman"/>
      <w:sz w:val="26"/>
      <w:szCs w:val="24"/>
    </w:rPr>
  </w:style>
  <w:style w:type="paragraph" w:styleId="Footer">
    <w:name w:val="footer"/>
    <w:basedOn w:val="Normal"/>
    <w:link w:val="FooterChar"/>
    <w:uiPriority w:val="99"/>
    <w:unhideWhenUsed/>
    <w:rsid w:val="00A125E4"/>
    <w:pPr>
      <w:tabs>
        <w:tab w:val="center" w:pos="4680"/>
        <w:tab w:val="right" w:pos="9360"/>
      </w:tabs>
    </w:pPr>
  </w:style>
  <w:style w:type="character" w:customStyle="1" w:styleId="FooterChar">
    <w:name w:val="Footer Char"/>
    <w:basedOn w:val="DefaultParagraphFont"/>
    <w:link w:val="Footer"/>
    <w:uiPriority w:val="99"/>
    <w:rsid w:val="00A125E4"/>
    <w:rPr>
      <w:rFonts w:eastAsia="Times New Roman"/>
      <w:sz w:val="26"/>
      <w:szCs w:val="24"/>
    </w:rPr>
  </w:style>
  <w:style w:type="paragraph" w:styleId="BalloonText">
    <w:name w:val="Balloon Text"/>
    <w:basedOn w:val="Normal"/>
    <w:link w:val="BalloonTextChar"/>
    <w:uiPriority w:val="99"/>
    <w:semiHidden/>
    <w:unhideWhenUsed/>
    <w:rsid w:val="00A12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2022-01-14T07:14:00Z</cp:lastPrinted>
  <dcterms:created xsi:type="dcterms:W3CDTF">2022-01-14T04:08:00Z</dcterms:created>
  <dcterms:modified xsi:type="dcterms:W3CDTF">2022-01-14T07:14:00Z</dcterms:modified>
</cp:coreProperties>
</file>